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D232" w14:textId="2F4F780A" w:rsidR="008118F3" w:rsidRPr="00C7401C" w:rsidRDefault="00C7401C" w:rsidP="008118F3">
      <w:pPr>
        <w:pStyle w:val="3GPPHeader"/>
      </w:pPr>
      <w:r w:rsidRPr="00C7401C">
        <w:t>3GPP TSG-RAN WG1 NR Ad-Hoc#2</w:t>
      </w:r>
      <w:r w:rsidR="008118F3" w:rsidRPr="00C7401C">
        <w:tab/>
      </w:r>
      <w:r w:rsidR="008118F3" w:rsidRPr="00F128C5">
        <w:t>R1-</w:t>
      </w:r>
      <w:r w:rsidR="009154F3" w:rsidRPr="00F128C5">
        <w:t>17</w:t>
      </w:r>
      <w:r w:rsidR="00F128C5" w:rsidRPr="00F128C5">
        <w:t>11014</w:t>
      </w:r>
    </w:p>
    <w:p w14:paraId="4FF3A546" w14:textId="42B0DA11" w:rsidR="008348A0" w:rsidRPr="000B0A42" w:rsidRDefault="00C7401C" w:rsidP="008348A0">
      <w:pPr>
        <w:pStyle w:val="Header"/>
        <w:rPr>
          <w:sz w:val="22"/>
        </w:rPr>
      </w:pPr>
      <w:bookmarkStart w:id="0" w:name="_GoBack"/>
      <w:r w:rsidRPr="000B0A42">
        <w:rPr>
          <w:sz w:val="22"/>
        </w:rPr>
        <w:t>Qingdao</w:t>
      </w:r>
      <w:r w:rsidR="008348A0" w:rsidRPr="000B0A42">
        <w:rPr>
          <w:sz w:val="22"/>
        </w:rPr>
        <w:t xml:space="preserve">, China, </w:t>
      </w:r>
      <w:r w:rsidRPr="000B0A42">
        <w:rPr>
          <w:sz w:val="22"/>
        </w:rPr>
        <w:t>27</w:t>
      </w:r>
      <w:r w:rsidRPr="000B0A42">
        <w:rPr>
          <w:sz w:val="22"/>
          <w:vertAlign w:val="superscript"/>
        </w:rPr>
        <w:t>th</w:t>
      </w:r>
      <w:r w:rsidRPr="000B0A42">
        <w:rPr>
          <w:sz w:val="22"/>
        </w:rPr>
        <w:t>-30</w:t>
      </w:r>
      <w:r w:rsidRPr="000B0A42">
        <w:rPr>
          <w:sz w:val="22"/>
          <w:vertAlign w:val="superscript"/>
        </w:rPr>
        <w:t>th</w:t>
      </w:r>
      <w:r w:rsidRPr="000B0A42">
        <w:rPr>
          <w:sz w:val="22"/>
        </w:rPr>
        <w:t xml:space="preserve"> June</w:t>
      </w:r>
      <w:r w:rsidR="008348A0" w:rsidRPr="000B0A42">
        <w:rPr>
          <w:sz w:val="22"/>
        </w:rPr>
        <w:t>, 2017</w:t>
      </w:r>
    </w:p>
    <w:bookmarkEnd w:id="0"/>
    <w:p w14:paraId="08DB7E76" w14:textId="77777777" w:rsidR="00E90E49" w:rsidRPr="00C7401C" w:rsidRDefault="00E90E49" w:rsidP="00357380">
      <w:pPr>
        <w:pStyle w:val="3GPPHeader"/>
      </w:pPr>
    </w:p>
    <w:p w14:paraId="678F3A79" w14:textId="77777777" w:rsidR="00E90E49" w:rsidRPr="00C7401C" w:rsidRDefault="003D3C45" w:rsidP="00327997">
      <w:pPr>
        <w:pStyle w:val="3GPPHeader"/>
      </w:pPr>
      <w:r w:rsidRPr="00C7401C">
        <w:t>Source:</w:t>
      </w:r>
      <w:r w:rsidR="00E90E49" w:rsidRPr="00C7401C">
        <w:tab/>
      </w:r>
      <w:r w:rsidR="00F64C2B" w:rsidRPr="00C7401C">
        <w:t>Ericsson</w:t>
      </w:r>
    </w:p>
    <w:p w14:paraId="7CC32A57" w14:textId="5A40B2F9" w:rsidR="00E90E49" w:rsidRPr="00C7401C" w:rsidRDefault="003D3C45" w:rsidP="00327997">
      <w:pPr>
        <w:pStyle w:val="3GPPHeader"/>
      </w:pPr>
      <w:r w:rsidRPr="00C7401C">
        <w:t>Title:</w:t>
      </w:r>
      <w:r w:rsidR="00E90E49" w:rsidRPr="00C7401C">
        <w:tab/>
      </w:r>
      <w:r w:rsidR="006D4C13">
        <w:t>On rate matching</w:t>
      </w:r>
    </w:p>
    <w:p w14:paraId="663C4B82" w14:textId="7F1EF1E4" w:rsidR="00952A24" w:rsidRPr="00C7401C" w:rsidRDefault="00952A24" w:rsidP="00327997">
      <w:pPr>
        <w:pStyle w:val="3GPPHeader"/>
      </w:pPr>
      <w:r w:rsidRPr="00C7401C">
        <w:t>Agenda Item:</w:t>
      </w:r>
      <w:r w:rsidRPr="00C7401C">
        <w:tab/>
      </w:r>
      <w:r w:rsidR="00C7401C" w:rsidRPr="00C7401C">
        <w:t>5</w:t>
      </w:r>
      <w:r w:rsidR="002177BF" w:rsidRPr="00C7401C">
        <w:t>.1.2.1.</w:t>
      </w:r>
      <w:r w:rsidR="006D4C13">
        <w:t>7</w:t>
      </w:r>
    </w:p>
    <w:p w14:paraId="70630FC4" w14:textId="304F00F0" w:rsidR="00E64F97" w:rsidRPr="00E64F97" w:rsidRDefault="00E90E49" w:rsidP="00084BD4">
      <w:pPr>
        <w:pStyle w:val="3GPPHeader"/>
      </w:pPr>
      <w:r w:rsidRPr="00C7401C">
        <w:t>Document for:</w:t>
      </w:r>
      <w:r w:rsidRPr="00C7401C">
        <w:tab/>
      </w:r>
      <w:r w:rsidR="00A15745" w:rsidRPr="00C7401C">
        <w:t>Discussion and</w:t>
      </w:r>
      <w:r w:rsidR="00952A24" w:rsidRPr="00C7401C">
        <w:t xml:space="preserve"> </w:t>
      </w:r>
      <w:r w:rsidRPr="00C7401C">
        <w:t>Decision</w:t>
      </w:r>
    </w:p>
    <w:p w14:paraId="007E1DB7" w14:textId="6C1DC250" w:rsidR="00E90E49" w:rsidRDefault="007F75D5" w:rsidP="00CE0424">
      <w:pPr>
        <w:pStyle w:val="Heading1"/>
      </w:pPr>
      <w:r>
        <w:t>Introduction</w:t>
      </w:r>
    </w:p>
    <w:p w14:paraId="014697BA" w14:textId="18E27E5A" w:rsidR="00BF7642" w:rsidRPr="00E9149C" w:rsidRDefault="002177BF" w:rsidP="00BF7642">
      <w:pPr>
        <w:pStyle w:val="BodyText"/>
      </w:pPr>
      <w:r>
        <w:t xml:space="preserve">In </w:t>
      </w:r>
      <w:r w:rsidR="004A093E">
        <w:t>previous RAN1 meetings</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5F308D" w14:textId="3B26FB5C" w:rsidR="004A093E" w:rsidRPr="00B625E5" w:rsidRDefault="004A093E" w:rsidP="004A093E">
                            <w:r w:rsidRPr="00F128C5">
                              <w:rPr>
                                <w:highlight w:val="green"/>
                              </w:rPr>
                              <w:t>Agreements</w:t>
                            </w:r>
                            <w:r w:rsidR="00F128C5" w:rsidRPr="00F128C5">
                              <w:rPr>
                                <w:highlight w:val="green"/>
                              </w:rPr>
                              <w:t xml:space="preserve"> (1)</w:t>
                            </w:r>
                            <w:r w:rsidRPr="00F128C5">
                              <w:rPr>
                                <w:highlight w:val="green"/>
                              </w:rPr>
                              <w:t>:</w:t>
                            </w:r>
                          </w:p>
                          <w:p w14:paraId="17D63976" w14:textId="77777777" w:rsidR="004A093E" w:rsidRPr="00B625E5" w:rsidRDefault="004A093E" w:rsidP="004A093E">
                            <w:pPr>
                              <w:numPr>
                                <w:ilvl w:val="0"/>
                                <w:numId w:val="14"/>
                              </w:numPr>
                              <w:spacing w:after="0"/>
                            </w:pPr>
                            <w:r w:rsidRPr="00B625E5">
                              <w:t>NR supports the case when an NR UE is not expected to understand or detect LTE signals/channels in the frequency band shared by NR and LTE.</w:t>
                            </w:r>
                          </w:p>
                          <w:p w14:paraId="10672C1A" w14:textId="77777777" w:rsidR="004A093E" w:rsidRPr="00B625E5" w:rsidRDefault="004A093E" w:rsidP="004A093E">
                            <w:pPr>
                              <w:numPr>
                                <w:ilvl w:val="1"/>
                                <w:numId w:val="14"/>
                              </w:numPr>
                              <w:spacing w:after="0"/>
                            </w:pPr>
                            <w:r w:rsidRPr="00B625E5">
                              <w:t>Detailed conditions are FFS</w:t>
                            </w:r>
                          </w:p>
                          <w:p w14:paraId="611398D1" w14:textId="77777777" w:rsidR="004A093E" w:rsidRPr="00B625E5" w:rsidRDefault="004A093E" w:rsidP="004A093E">
                            <w:pPr>
                              <w:numPr>
                                <w:ilvl w:val="0"/>
                                <w:numId w:val="14"/>
                              </w:numPr>
                              <w:spacing w:after="0"/>
                            </w:pPr>
                            <w:r w:rsidRPr="00B625E5">
                              <w:t>Initial access procedure design for NR should be used as a baseline for the case of NR-LTE coexisting</w:t>
                            </w:r>
                          </w:p>
                          <w:p w14:paraId="47DA6CAE" w14:textId="77777777" w:rsidR="004A093E" w:rsidRPr="00B625E5" w:rsidRDefault="004A093E" w:rsidP="004A093E">
                            <w:pPr>
                              <w:numPr>
                                <w:ilvl w:val="1"/>
                                <w:numId w:val="14"/>
                              </w:numPr>
                              <w:spacing w:after="0"/>
                            </w:pPr>
                            <w:r w:rsidRPr="00B625E5">
                              <w:t xml:space="preserve">FFS whether or not additional impact </w:t>
                            </w:r>
                          </w:p>
                          <w:p w14:paraId="34CD12A2" w14:textId="139432DC" w:rsidR="00F128C5" w:rsidRPr="00837CBD" w:rsidRDefault="00F128C5" w:rsidP="00F128C5">
                            <w:pPr>
                              <w:rPr>
                                <w:rFonts w:eastAsia="MS Mincho"/>
                                <w:b/>
                                <w:lang w:eastAsia="ja-JP"/>
                              </w:rPr>
                            </w:pPr>
                            <w:r w:rsidRPr="00F128C5">
                              <w:rPr>
                                <w:rFonts w:eastAsia="MS Mincho"/>
                                <w:highlight w:val="green"/>
                                <w:lang w:eastAsia="ja-JP"/>
                              </w:rPr>
                              <w:t>Agreements (2):</w:t>
                            </w:r>
                          </w:p>
                          <w:p w14:paraId="3A509C9B" w14:textId="77777777" w:rsidR="00F128C5" w:rsidRPr="00837CBD" w:rsidRDefault="00F128C5" w:rsidP="00F128C5">
                            <w:pPr>
                              <w:numPr>
                                <w:ilvl w:val="0"/>
                                <w:numId w:val="23"/>
                              </w:numPr>
                              <w:spacing w:after="0"/>
                              <w:rPr>
                                <w:rFonts w:eastAsia="MS Mincho"/>
                                <w:lang w:eastAsia="ja-JP"/>
                              </w:rPr>
                            </w:pPr>
                            <w:r w:rsidRPr="00837CBD">
                              <w:rPr>
                                <w:rFonts w:eastAsia="MS Mincho"/>
                                <w:lang w:eastAsia="ja-JP"/>
                              </w:rPr>
                              <w:t>NR supports aperiodic SRS triggering field in DCI.</w:t>
                            </w:r>
                          </w:p>
                          <w:p w14:paraId="4194B249" w14:textId="77777777" w:rsidR="00F128C5" w:rsidRPr="00837CBD" w:rsidRDefault="00F128C5" w:rsidP="00F128C5">
                            <w:pPr>
                              <w:numPr>
                                <w:ilvl w:val="1"/>
                                <w:numId w:val="23"/>
                              </w:numPr>
                              <w:spacing w:after="0"/>
                              <w:rPr>
                                <w:rFonts w:eastAsia="MS Mincho"/>
                                <w:lang w:eastAsia="ja-JP"/>
                              </w:rPr>
                            </w:pPr>
                            <w:r w:rsidRPr="00837CBD">
                              <w:rPr>
                                <w:rFonts w:eastAsia="MS Mincho"/>
                                <w:lang w:eastAsia="ja-JP"/>
                              </w:rPr>
                              <w:t xml:space="preserve">Supports at least one state of the field that can select at least one out of the configured SRS resources. </w:t>
                            </w:r>
                          </w:p>
                          <w:p w14:paraId="00887B68" w14:textId="77777777" w:rsidR="00F128C5" w:rsidRPr="00837CBD" w:rsidRDefault="00F128C5" w:rsidP="00F128C5">
                            <w:pPr>
                              <w:numPr>
                                <w:ilvl w:val="1"/>
                                <w:numId w:val="23"/>
                              </w:numPr>
                              <w:spacing w:after="0"/>
                              <w:rPr>
                                <w:rFonts w:eastAsia="MS Mincho"/>
                                <w:lang w:eastAsia="ja-JP"/>
                              </w:rPr>
                            </w:pPr>
                            <w:r w:rsidRPr="00837CBD">
                              <w:rPr>
                                <w:rFonts w:eastAsia="MS Mincho"/>
                                <w:lang w:eastAsia="ja-JP"/>
                              </w:rPr>
                              <w:t>FFS: details</w:t>
                            </w:r>
                          </w:p>
                          <w:p w14:paraId="4FAC64D6" w14:textId="4004A5F3" w:rsidR="001C78B7" w:rsidRPr="00F61A0E" w:rsidRDefault="001C78B7" w:rsidP="00F128C5">
                            <w:pPr>
                              <w:spacing w:after="0"/>
                              <w:ind w:left="1440"/>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D5F308D" w14:textId="3B26FB5C" w:rsidR="004A093E" w:rsidRPr="00B625E5" w:rsidRDefault="004A093E" w:rsidP="004A093E">
                      <w:r w:rsidRPr="00F128C5">
                        <w:rPr>
                          <w:highlight w:val="green"/>
                        </w:rPr>
                        <w:t>Agreements</w:t>
                      </w:r>
                      <w:r w:rsidR="00F128C5" w:rsidRPr="00F128C5">
                        <w:rPr>
                          <w:highlight w:val="green"/>
                        </w:rPr>
                        <w:t xml:space="preserve"> (1)</w:t>
                      </w:r>
                      <w:r w:rsidRPr="00F128C5">
                        <w:rPr>
                          <w:highlight w:val="green"/>
                        </w:rPr>
                        <w:t>:</w:t>
                      </w:r>
                    </w:p>
                    <w:p w14:paraId="17D63976" w14:textId="77777777" w:rsidR="004A093E" w:rsidRPr="00B625E5" w:rsidRDefault="004A093E" w:rsidP="004A093E">
                      <w:pPr>
                        <w:numPr>
                          <w:ilvl w:val="0"/>
                          <w:numId w:val="14"/>
                        </w:numPr>
                        <w:spacing w:after="0"/>
                      </w:pPr>
                      <w:r w:rsidRPr="00B625E5">
                        <w:t>NR supports the case when an NR UE is not expected to understand or detect LTE signals/channels in the frequency band shared by NR and LTE.</w:t>
                      </w:r>
                    </w:p>
                    <w:p w14:paraId="10672C1A" w14:textId="77777777" w:rsidR="004A093E" w:rsidRPr="00B625E5" w:rsidRDefault="004A093E" w:rsidP="004A093E">
                      <w:pPr>
                        <w:numPr>
                          <w:ilvl w:val="1"/>
                          <w:numId w:val="14"/>
                        </w:numPr>
                        <w:spacing w:after="0"/>
                      </w:pPr>
                      <w:r w:rsidRPr="00B625E5">
                        <w:t>Detailed conditions are FFS</w:t>
                      </w:r>
                    </w:p>
                    <w:p w14:paraId="611398D1" w14:textId="77777777" w:rsidR="004A093E" w:rsidRPr="00B625E5" w:rsidRDefault="004A093E" w:rsidP="004A093E">
                      <w:pPr>
                        <w:numPr>
                          <w:ilvl w:val="0"/>
                          <w:numId w:val="14"/>
                        </w:numPr>
                        <w:spacing w:after="0"/>
                      </w:pPr>
                      <w:r w:rsidRPr="00B625E5">
                        <w:t>Initial access procedure design for NR should be used as a baseline for the case of NR-LTE coexisting</w:t>
                      </w:r>
                    </w:p>
                    <w:p w14:paraId="47DA6CAE" w14:textId="77777777" w:rsidR="004A093E" w:rsidRPr="00B625E5" w:rsidRDefault="004A093E" w:rsidP="004A093E">
                      <w:pPr>
                        <w:numPr>
                          <w:ilvl w:val="1"/>
                          <w:numId w:val="14"/>
                        </w:numPr>
                        <w:spacing w:after="0"/>
                      </w:pPr>
                      <w:r w:rsidRPr="00B625E5">
                        <w:t xml:space="preserve">FFS whether or not additional impact </w:t>
                      </w:r>
                    </w:p>
                    <w:p w14:paraId="34CD12A2" w14:textId="139432DC" w:rsidR="00F128C5" w:rsidRPr="00837CBD" w:rsidRDefault="00F128C5" w:rsidP="00F128C5">
                      <w:pPr>
                        <w:rPr>
                          <w:rFonts w:eastAsia="MS Mincho"/>
                          <w:b/>
                          <w:lang w:eastAsia="ja-JP"/>
                        </w:rPr>
                      </w:pPr>
                      <w:r w:rsidRPr="00F128C5">
                        <w:rPr>
                          <w:rFonts w:eastAsia="MS Mincho"/>
                          <w:highlight w:val="green"/>
                          <w:lang w:eastAsia="ja-JP"/>
                        </w:rPr>
                        <w:t>Agreements (2):</w:t>
                      </w:r>
                    </w:p>
                    <w:p w14:paraId="3A509C9B" w14:textId="77777777" w:rsidR="00F128C5" w:rsidRPr="00837CBD" w:rsidRDefault="00F128C5" w:rsidP="00F128C5">
                      <w:pPr>
                        <w:numPr>
                          <w:ilvl w:val="0"/>
                          <w:numId w:val="23"/>
                        </w:numPr>
                        <w:spacing w:after="0"/>
                        <w:rPr>
                          <w:rFonts w:eastAsia="MS Mincho"/>
                          <w:lang w:eastAsia="ja-JP"/>
                        </w:rPr>
                      </w:pPr>
                      <w:r w:rsidRPr="00837CBD">
                        <w:rPr>
                          <w:rFonts w:eastAsia="MS Mincho"/>
                          <w:lang w:eastAsia="ja-JP"/>
                        </w:rPr>
                        <w:t>NR supports aperiodic SRS triggering field in DCI.</w:t>
                      </w:r>
                    </w:p>
                    <w:p w14:paraId="4194B249" w14:textId="77777777" w:rsidR="00F128C5" w:rsidRPr="00837CBD" w:rsidRDefault="00F128C5" w:rsidP="00F128C5">
                      <w:pPr>
                        <w:numPr>
                          <w:ilvl w:val="1"/>
                          <w:numId w:val="23"/>
                        </w:numPr>
                        <w:spacing w:after="0"/>
                        <w:rPr>
                          <w:rFonts w:eastAsia="MS Mincho"/>
                          <w:lang w:eastAsia="ja-JP"/>
                        </w:rPr>
                      </w:pPr>
                      <w:r w:rsidRPr="00837CBD">
                        <w:rPr>
                          <w:rFonts w:eastAsia="MS Mincho"/>
                          <w:lang w:eastAsia="ja-JP"/>
                        </w:rPr>
                        <w:t xml:space="preserve">Supports at least one state of the field that can select at least one out of the configured SRS resources. </w:t>
                      </w:r>
                    </w:p>
                    <w:p w14:paraId="00887B68" w14:textId="77777777" w:rsidR="00F128C5" w:rsidRPr="00837CBD" w:rsidRDefault="00F128C5" w:rsidP="00F128C5">
                      <w:pPr>
                        <w:numPr>
                          <w:ilvl w:val="1"/>
                          <w:numId w:val="23"/>
                        </w:numPr>
                        <w:spacing w:after="0"/>
                        <w:rPr>
                          <w:rFonts w:eastAsia="MS Mincho"/>
                          <w:lang w:eastAsia="ja-JP"/>
                        </w:rPr>
                      </w:pPr>
                      <w:r w:rsidRPr="00837CBD">
                        <w:rPr>
                          <w:rFonts w:eastAsia="MS Mincho"/>
                          <w:lang w:eastAsia="ja-JP"/>
                        </w:rPr>
                        <w:t>FFS: details</w:t>
                      </w:r>
                    </w:p>
                    <w:p w14:paraId="4FAC64D6" w14:textId="4004A5F3" w:rsidR="001C78B7" w:rsidRPr="00F61A0E" w:rsidRDefault="001C78B7" w:rsidP="00F128C5">
                      <w:pPr>
                        <w:spacing w:after="0"/>
                        <w:ind w:left="1440"/>
                      </w:pPr>
                    </w:p>
                  </w:txbxContent>
                </v:textbox>
                <w10:anchorlock/>
              </v:shape>
            </w:pict>
          </mc:Fallback>
        </mc:AlternateContent>
      </w:r>
    </w:p>
    <w:p w14:paraId="7510AFF4" w14:textId="344B81AF" w:rsidR="00EB78D1" w:rsidRDefault="00EB78D1" w:rsidP="00926389">
      <w:pPr>
        <w:pStyle w:val="BodyText"/>
      </w:pPr>
      <w:r w:rsidRPr="00E322EF">
        <w:t>In RAN1#8</w:t>
      </w:r>
      <w:r>
        <w:t>9</w:t>
      </w:r>
      <w:r w:rsidRPr="00E322EF">
        <w:t xml:space="preserve"> meeting, the PDSCH rate matching issue </w:t>
      </w:r>
      <w:r>
        <w:t xml:space="preserve">(or rather the PDSCH to RE mapping to available REs and how to protect unavailable REs used by other signals) </w:t>
      </w:r>
      <w:r w:rsidRPr="00E322EF">
        <w:t>was discussed</w:t>
      </w:r>
      <w:r>
        <w:t xml:space="preserve">. </w:t>
      </w:r>
      <w:r w:rsidR="00BC56D0">
        <w:t xml:space="preserve"> </w:t>
      </w:r>
      <w:r>
        <w:t>A way forward,</w:t>
      </w:r>
      <w:r w:rsidRPr="00E322EF">
        <w:t xml:space="preserve"> </w:t>
      </w:r>
      <w:r>
        <w:fldChar w:fldCharType="begin"/>
      </w:r>
      <w:r w:rsidRPr="00E322EF">
        <w:instrText xml:space="preserve"> REF _Ref477774264 \r \h </w:instrText>
      </w:r>
      <w:r>
        <w:fldChar w:fldCharType="separate"/>
      </w:r>
      <w:r w:rsidR="00F128C5">
        <w:t>[1]</w:t>
      </w:r>
      <w:r>
        <w:fldChar w:fldCharType="end"/>
      </w:r>
      <w:r w:rsidRPr="00E322EF">
        <w:t xml:space="preserve"> </w:t>
      </w:r>
      <w:r>
        <w:t xml:space="preserve">was discussed </w:t>
      </w:r>
      <w:r w:rsidRPr="00E322EF">
        <w:t>although there were no agr</w:t>
      </w:r>
      <w:r>
        <w:t>eements related to this topic.</w:t>
      </w:r>
    </w:p>
    <w:p w14:paraId="5375C62F" w14:textId="0351D2CD" w:rsidR="00896E18" w:rsidRPr="00931555" w:rsidRDefault="00F6020D" w:rsidP="00926389">
      <w:pPr>
        <w:pStyle w:val="BodyText"/>
      </w:pPr>
      <w:r>
        <w:t xml:space="preserve">We will in </w:t>
      </w:r>
      <w:r w:rsidR="00C7401C">
        <w:t>this contribution provide our</w:t>
      </w:r>
      <w:r w:rsidR="00F92463">
        <w:t xml:space="preserve"> view regarding the mapping of data to RE for PDSCH and P</w:t>
      </w:r>
      <w:r w:rsidR="00C7401C">
        <w:t>US</w:t>
      </w:r>
      <w:r w:rsidR="00F92463">
        <w:t xml:space="preserve">CH. </w:t>
      </w:r>
      <w:bookmarkStart w:id="1" w:name="_Ref178064866"/>
    </w:p>
    <w:p w14:paraId="19DE3DB2" w14:textId="2A213F31" w:rsidR="003D3AA9" w:rsidRDefault="00533991" w:rsidP="003C37A5">
      <w:pPr>
        <w:pStyle w:val="Heading1"/>
      </w:pPr>
      <w:r>
        <w:t>Discussion</w:t>
      </w:r>
    </w:p>
    <w:bookmarkEnd w:id="1"/>
    <w:p w14:paraId="47CA5FA5" w14:textId="0090844F" w:rsidR="00F128C5" w:rsidRDefault="00F128C5" w:rsidP="00F128C5">
      <w:pPr>
        <w:pStyle w:val="Heading2"/>
        <w:rPr>
          <w:lang w:val="en-US"/>
        </w:rPr>
      </w:pPr>
      <w:r>
        <w:rPr>
          <w:lang w:val="en-US"/>
        </w:rPr>
        <w:t>Rate matching for DL</w:t>
      </w:r>
    </w:p>
    <w:p w14:paraId="07D6290D" w14:textId="4989D558" w:rsidR="00B228C2" w:rsidRDefault="00533991" w:rsidP="00533991">
      <w:r w:rsidRPr="007D2A13">
        <w:t xml:space="preserve">In </w:t>
      </w:r>
      <w:r>
        <w:fldChar w:fldCharType="begin"/>
      </w:r>
      <w:r w:rsidRPr="007D2A13">
        <w:instrText xml:space="preserve"> REF _Ref477774264 \r \h </w:instrText>
      </w:r>
      <w:r>
        <w:fldChar w:fldCharType="separate"/>
      </w:r>
      <w:r w:rsidR="00F128C5">
        <w:t>[1]</w:t>
      </w:r>
      <w:r>
        <w:fldChar w:fldCharType="end"/>
      </w:r>
      <w:r w:rsidRPr="007D2A13">
        <w:t xml:space="preserve">, it was proposed that </w:t>
      </w:r>
      <w:r w:rsidR="00B228C2">
        <w:t>NR supports configuration of resource elements for PDSCH RE mapping</w:t>
      </w:r>
      <w:r w:rsidR="00BC56D0">
        <w:t xml:space="preserve"> where those REs are configured separately from setting(s) in the CSI framework.  </w:t>
      </w:r>
      <w:r w:rsidR="00BC56D0" w:rsidRPr="00E322EF">
        <w:t xml:space="preserve">The above </w:t>
      </w:r>
      <w:r w:rsidR="00BC56D0">
        <w:t>proposal is for PDSCH RE mapping for reception by</w:t>
      </w:r>
      <w:r w:rsidR="00BC56D0" w:rsidRPr="00E322EF">
        <w:t xml:space="preserve"> a NR UE when another NR UE is receiving aperiodic/semi-persistent/periodic CSI-RS</w:t>
      </w:r>
      <w:r w:rsidR="00BC56D0">
        <w:t xml:space="preserve"> or other NR signals</w:t>
      </w:r>
      <w:r w:rsidR="00BC56D0" w:rsidRPr="00E322EF">
        <w:t xml:space="preserve">.  </w:t>
      </w:r>
    </w:p>
    <w:p w14:paraId="7362A724" w14:textId="689BC5DA" w:rsidR="00BC56D0" w:rsidRDefault="00BC56D0" w:rsidP="00BC56D0">
      <w:r>
        <w:t>Furthermore, i</w:t>
      </w:r>
      <w:r w:rsidRPr="00E322EF">
        <w:t xml:space="preserve">n </w:t>
      </w:r>
      <w:r>
        <w:fldChar w:fldCharType="begin"/>
      </w:r>
      <w:r>
        <w:instrText xml:space="preserve"> REF _Ref485294595 \r \h </w:instrText>
      </w:r>
      <w:r>
        <w:fldChar w:fldCharType="separate"/>
      </w:r>
      <w:r w:rsidR="00F128C5">
        <w:t>[2]</w:t>
      </w:r>
      <w:r>
        <w:fldChar w:fldCharType="end"/>
      </w:r>
      <w:r w:rsidRPr="00E322EF">
        <w:t xml:space="preserve">, it was proposed that semi-static configuration of ZP CSI-RS (which is independently configured from ZP CSI-RS based IMR) is supported in NR for PDSCH rate matching.  </w:t>
      </w:r>
      <w:r>
        <w:t xml:space="preserve">The following two alternatives were identified in </w:t>
      </w:r>
      <w:r>
        <w:fldChar w:fldCharType="begin"/>
      </w:r>
      <w:r>
        <w:instrText xml:space="preserve"> REF _Ref477774264 \r \h </w:instrText>
      </w:r>
      <w:r>
        <w:fldChar w:fldCharType="separate"/>
      </w:r>
      <w:r w:rsidR="00F128C5">
        <w:t>[1]</w:t>
      </w:r>
      <w:r>
        <w:fldChar w:fldCharType="end"/>
      </w:r>
      <w:r>
        <w:t>:</w:t>
      </w:r>
    </w:p>
    <w:p w14:paraId="558452CA" w14:textId="77777777" w:rsidR="00BC56D0" w:rsidRPr="00DE117B" w:rsidRDefault="00BC56D0" w:rsidP="00BC56D0">
      <w:pPr>
        <w:numPr>
          <w:ilvl w:val="1"/>
          <w:numId w:val="21"/>
        </w:numPr>
        <w:spacing w:after="0"/>
        <w:rPr>
          <w:i/>
        </w:rPr>
      </w:pPr>
      <w:r w:rsidRPr="00DE117B">
        <w:rPr>
          <w:i/>
        </w:rPr>
        <w:lastRenderedPageBreak/>
        <w:t>Alt1: ZP CSI-RS resources for rate matching are configured in CSI framework</w:t>
      </w:r>
    </w:p>
    <w:p w14:paraId="5068E8FF" w14:textId="77777777" w:rsidR="00BC56D0" w:rsidRPr="00DE117B" w:rsidRDefault="00BC56D0" w:rsidP="00BC56D0">
      <w:pPr>
        <w:numPr>
          <w:ilvl w:val="2"/>
          <w:numId w:val="21"/>
        </w:numPr>
        <w:spacing w:after="0"/>
        <w:rPr>
          <w:i/>
        </w:rPr>
      </w:pPr>
      <w:r w:rsidRPr="00DE117B">
        <w:rPr>
          <w:i/>
        </w:rPr>
        <w:t>FFS: how to indicate this type of resources</w:t>
      </w:r>
    </w:p>
    <w:p w14:paraId="63BF61C4" w14:textId="77777777" w:rsidR="00BC56D0" w:rsidRPr="00DE117B" w:rsidRDefault="00BC56D0" w:rsidP="00BC56D0">
      <w:pPr>
        <w:numPr>
          <w:ilvl w:val="2"/>
          <w:numId w:val="21"/>
        </w:numPr>
        <w:spacing w:after="0"/>
        <w:rPr>
          <w:i/>
        </w:rPr>
      </w:pPr>
      <w:r w:rsidRPr="00DE117B">
        <w:rPr>
          <w:i/>
        </w:rPr>
        <w:t>FFS: extension to RE pattern(s) other than CSI-RS, e.g., DM-RS</w:t>
      </w:r>
    </w:p>
    <w:p w14:paraId="401681F5" w14:textId="77777777" w:rsidR="00BC56D0" w:rsidRPr="00DE117B" w:rsidRDefault="00BC56D0" w:rsidP="00BC56D0">
      <w:pPr>
        <w:numPr>
          <w:ilvl w:val="1"/>
          <w:numId w:val="21"/>
        </w:numPr>
        <w:spacing w:after="0"/>
        <w:rPr>
          <w:i/>
        </w:rPr>
      </w:pPr>
      <w:r w:rsidRPr="00DE117B">
        <w:rPr>
          <w:i/>
        </w:rPr>
        <w:t>Alt2: ZP CSI-RS resources for rate matching are configured separately from settings for CSI framework.</w:t>
      </w:r>
    </w:p>
    <w:p w14:paraId="3A84611B" w14:textId="77777777" w:rsidR="00BC56D0" w:rsidRPr="00DE117B" w:rsidRDefault="00BC56D0" w:rsidP="00BC56D0">
      <w:pPr>
        <w:numPr>
          <w:ilvl w:val="2"/>
          <w:numId w:val="21"/>
        </w:numPr>
        <w:spacing w:after="0"/>
        <w:rPr>
          <w:i/>
        </w:rPr>
      </w:pPr>
      <w:r w:rsidRPr="00DE117B">
        <w:rPr>
          <w:i/>
        </w:rPr>
        <w:t>FFS: extension to RE pattern(s) other than CSI-RS, e.g., DM-RS</w:t>
      </w:r>
    </w:p>
    <w:p w14:paraId="1351F6B7" w14:textId="77777777" w:rsidR="00BC56D0" w:rsidRPr="00E322EF" w:rsidRDefault="00BC56D0" w:rsidP="00533991">
      <w:pPr>
        <w:spacing w:after="0"/>
      </w:pPr>
    </w:p>
    <w:p w14:paraId="4AD41086" w14:textId="5C8244E6" w:rsidR="00533991" w:rsidRDefault="00533991" w:rsidP="00533991">
      <w:r>
        <w:t>In our view, using the CSI framework for configuring ZP CSI-RS is overly restrictive and complicated. For higher flexibility and forward compatibility, it should be possible to configure ZP CSI-RS patterns also outside the framework used to configure CSI measurements.</w:t>
      </w:r>
    </w:p>
    <w:p w14:paraId="1D05932E" w14:textId="1A5C7388" w:rsidR="00BB0E0C" w:rsidRDefault="00C71404" w:rsidP="00533991">
      <w:pPr>
        <w:pStyle w:val="Proposal"/>
        <w:tabs>
          <w:tab w:val="num" w:pos="4544"/>
        </w:tabs>
      </w:pPr>
      <w:bookmarkStart w:id="2" w:name="_Toc481697900"/>
      <w:bookmarkStart w:id="3" w:name="_Toc481761670"/>
      <w:bookmarkStart w:id="4" w:name="_Toc481762209"/>
      <w:bookmarkStart w:id="5" w:name="_Toc485032290"/>
      <w:bookmarkStart w:id="6" w:name="_Toc485294763"/>
      <w:bookmarkStart w:id="7" w:name="_Toc485301260"/>
      <w:bookmarkStart w:id="8" w:name="_Toc485301361"/>
      <w:bookmarkStart w:id="9" w:name="_Toc485301381"/>
      <w:bookmarkStart w:id="10" w:name="_Toc485301472"/>
      <w:bookmarkStart w:id="11" w:name="_Toc485301597"/>
      <w:bookmarkStart w:id="12" w:name="_Toc485392538"/>
      <w:bookmarkStart w:id="13" w:name="_Toc485392675"/>
      <w:r>
        <w:t>NR should support the configuration of</w:t>
      </w:r>
      <w:r w:rsidR="00533991">
        <w:t xml:space="preserve"> ZP CSI-RS without a connection with a CSI measurement, i.e. for PDSCH to RE </w:t>
      </w:r>
      <w:r w:rsidR="00334EC8">
        <w:t>mapping</w:t>
      </w:r>
      <w:r w:rsidR="00533991">
        <w:t xml:space="preserve"> purpose only</w:t>
      </w:r>
      <w:bookmarkEnd w:id="2"/>
      <w:bookmarkEnd w:id="3"/>
      <w:bookmarkEnd w:id="4"/>
      <w:bookmarkEnd w:id="5"/>
      <w:r>
        <w:t>.</w:t>
      </w:r>
      <w:bookmarkEnd w:id="6"/>
      <w:bookmarkEnd w:id="7"/>
      <w:bookmarkEnd w:id="8"/>
      <w:bookmarkEnd w:id="9"/>
      <w:bookmarkEnd w:id="10"/>
      <w:bookmarkEnd w:id="11"/>
      <w:bookmarkEnd w:id="12"/>
      <w:bookmarkEnd w:id="13"/>
      <w:r w:rsidR="00533991">
        <w:t xml:space="preserve"> </w:t>
      </w:r>
    </w:p>
    <w:p w14:paraId="18F84EC9" w14:textId="7DD462ED" w:rsidR="00533991" w:rsidRPr="00E322EF" w:rsidRDefault="00533991" w:rsidP="00533991">
      <w:r>
        <w:t>Moreover</w:t>
      </w:r>
      <w:r w:rsidRPr="00E322EF">
        <w:t xml:space="preserve">, in RAN1#88bis, the following agreement was made for NR-LTE coexistence: </w:t>
      </w:r>
    </w:p>
    <w:p w14:paraId="08F333BD" w14:textId="77777777" w:rsidR="00533991" w:rsidRPr="00DE117B" w:rsidRDefault="00533991" w:rsidP="00533991">
      <w:pPr>
        <w:rPr>
          <w:rFonts w:eastAsia="MS Mincho"/>
          <w:b/>
          <w:u w:val="single"/>
          <w:lang w:eastAsia="ja-JP"/>
        </w:rPr>
      </w:pPr>
      <w:r w:rsidRPr="00DE117B">
        <w:rPr>
          <w:rFonts w:eastAsia="MS Mincho"/>
          <w:b/>
          <w:highlight w:val="green"/>
          <w:u w:val="single"/>
          <w:lang w:eastAsia="ja-JP"/>
        </w:rPr>
        <w:t>Agreements</w:t>
      </w:r>
      <w:r w:rsidRPr="00DE117B">
        <w:rPr>
          <w:rFonts w:eastAsia="MS Mincho"/>
          <w:b/>
          <w:u w:val="single"/>
          <w:lang w:eastAsia="ja-JP"/>
        </w:rPr>
        <w:t>:</w:t>
      </w:r>
    </w:p>
    <w:p w14:paraId="75148E68" w14:textId="77777777" w:rsidR="00533991" w:rsidRPr="00DE117B" w:rsidRDefault="00533991" w:rsidP="00533991">
      <w:pPr>
        <w:numPr>
          <w:ilvl w:val="0"/>
          <w:numId w:val="22"/>
        </w:numPr>
        <w:spacing w:after="0"/>
        <w:rPr>
          <w:rFonts w:eastAsia="MS Mincho"/>
          <w:i/>
          <w:lang w:eastAsia="ja-JP"/>
        </w:rPr>
      </w:pPr>
      <w:r w:rsidRPr="00DE117B">
        <w:rPr>
          <w:rFonts w:eastAsia="MS Mincho"/>
          <w:i/>
          <w:lang w:eastAsia="ja-JP"/>
        </w:rPr>
        <w:t xml:space="preserve">NR supports </w:t>
      </w:r>
      <w:r w:rsidRPr="00DE117B">
        <w:rPr>
          <w:rFonts w:eastAsia="MS Mincho" w:hint="eastAsia"/>
          <w:i/>
          <w:lang w:eastAsia="ja-JP"/>
        </w:rPr>
        <w:t xml:space="preserve">DL </w:t>
      </w:r>
      <w:r w:rsidRPr="00DE117B">
        <w:rPr>
          <w:rFonts w:eastAsia="MS Mincho"/>
          <w:i/>
          <w:lang w:eastAsia="ja-JP"/>
        </w:rPr>
        <w:t xml:space="preserve">transmissions scheduled in LTE </w:t>
      </w:r>
      <w:r w:rsidRPr="00DE117B">
        <w:rPr>
          <w:rFonts w:eastAsia="MS Mincho" w:hint="eastAsia"/>
          <w:i/>
          <w:lang w:eastAsia="ja-JP"/>
        </w:rPr>
        <w:t xml:space="preserve">DL </w:t>
      </w:r>
      <w:r w:rsidRPr="00DE117B">
        <w:rPr>
          <w:rFonts w:eastAsia="MS Mincho"/>
          <w:i/>
          <w:lang w:eastAsia="ja-JP"/>
        </w:rPr>
        <w:t>non-MBSFN subframes</w:t>
      </w:r>
    </w:p>
    <w:p w14:paraId="30A82730" w14:textId="77777777" w:rsidR="00533991" w:rsidRPr="00DE117B" w:rsidRDefault="00533991" w:rsidP="00533991">
      <w:pPr>
        <w:numPr>
          <w:ilvl w:val="1"/>
          <w:numId w:val="22"/>
        </w:numPr>
        <w:spacing w:after="0"/>
        <w:rPr>
          <w:rFonts w:eastAsia="MS Mincho"/>
          <w:i/>
          <w:lang w:eastAsia="ja-JP"/>
        </w:rPr>
      </w:pPr>
      <w:r w:rsidRPr="00DE117B">
        <w:rPr>
          <w:rFonts w:eastAsia="MS Mincho"/>
          <w:i/>
          <w:lang w:eastAsia="ja-JP"/>
        </w:rPr>
        <w:t xml:space="preserve">Mini-slots can be scheduled on OFDM symbols not carrying CRS </w:t>
      </w:r>
    </w:p>
    <w:p w14:paraId="3DF43C92" w14:textId="77777777" w:rsidR="00533991" w:rsidRPr="00DE117B" w:rsidRDefault="00533991" w:rsidP="00533991">
      <w:pPr>
        <w:numPr>
          <w:ilvl w:val="1"/>
          <w:numId w:val="22"/>
        </w:numPr>
        <w:spacing w:after="0"/>
        <w:rPr>
          <w:rFonts w:eastAsia="MS Mincho"/>
          <w:i/>
          <w:lang w:eastAsia="ja-JP"/>
        </w:rPr>
      </w:pPr>
      <w:r w:rsidRPr="00DE117B">
        <w:rPr>
          <w:rFonts w:eastAsia="MS Mincho"/>
          <w:i/>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14:paraId="5DC4889A" w14:textId="77777777" w:rsidR="00533991" w:rsidRPr="00E322EF" w:rsidRDefault="00533991" w:rsidP="00533991"/>
    <w:p w14:paraId="57B9546F" w14:textId="3123A223" w:rsidR="00533991" w:rsidRPr="00DE117B" w:rsidRDefault="00533991" w:rsidP="00533991">
      <w:r w:rsidRPr="00E322EF">
        <w:t xml:space="preserve">As per the above agreement, it is possible an LTE </w:t>
      </w:r>
      <w:r>
        <w:t>network transmit</w:t>
      </w:r>
      <w:r w:rsidR="00BD77ED">
        <w:t>s critical signals in the</w:t>
      </w:r>
      <w:r w:rsidRPr="00E322EF">
        <w:t xml:space="preserve"> bandwidth </w:t>
      </w:r>
      <w:r w:rsidR="00BD77ED">
        <w:t xml:space="preserve">that it shares with </w:t>
      </w:r>
      <w:r w:rsidRPr="00E322EF">
        <w:t xml:space="preserve">NR.  Hence, </w:t>
      </w:r>
      <w:r>
        <w:t xml:space="preserve">rate matching for a NR UE </w:t>
      </w:r>
      <w:r w:rsidRPr="00E322EF">
        <w:t>may need to take into account these LTE signals</w:t>
      </w:r>
      <w:r w:rsidR="00BD77ED">
        <w:t xml:space="preserve"> (including those used for NB-</w:t>
      </w:r>
      <w:proofErr w:type="spellStart"/>
      <w:r w:rsidR="00BD77ED">
        <w:t>IoT</w:t>
      </w:r>
      <w:proofErr w:type="spellEnd"/>
      <w:r w:rsidR="00BD77ED">
        <w:t>)</w:t>
      </w:r>
      <w:r w:rsidRPr="00E322EF">
        <w:t xml:space="preserve"> as well in the case of NR-LTE coexistence.  </w:t>
      </w:r>
      <w:r w:rsidRPr="00DE117B">
        <w:t>We thus make the following proposal:</w:t>
      </w:r>
    </w:p>
    <w:p w14:paraId="7BE91404" w14:textId="35DE3D10" w:rsidR="00533991" w:rsidRPr="005538EF" w:rsidRDefault="00533991" w:rsidP="00533991">
      <w:pPr>
        <w:pStyle w:val="Proposal"/>
      </w:pPr>
      <w:bookmarkStart w:id="14" w:name="_Toc471402050"/>
      <w:bookmarkStart w:id="15" w:name="_Toc471402110"/>
      <w:bookmarkStart w:id="16" w:name="_Toc471402128"/>
      <w:bookmarkStart w:id="17" w:name="_Toc471417204"/>
      <w:bookmarkStart w:id="18" w:name="_Toc471419231"/>
      <w:bookmarkStart w:id="19" w:name="_Toc471422249"/>
      <w:bookmarkStart w:id="20" w:name="_Toc471428674"/>
      <w:bookmarkStart w:id="21" w:name="_Toc471428769"/>
      <w:bookmarkStart w:id="22" w:name="_Toc471428789"/>
      <w:bookmarkStart w:id="23" w:name="_Toc471428801"/>
      <w:bookmarkStart w:id="24" w:name="_Toc471428867"/>
      <w:bookmarkStart w:id="25" w:name="_Toc471428942"/>
      <w:bookmarkStart w:id="26" w:name="_Toc471428975"/>
      <w:bookmarkStart w:id="27" w:name="_Toc471429002"/>
      <w:bookmarkStart w:id="28" w:name="_Toc471429021"/>
      <w:bookmarkStart w:id="29" w:name="_Toc471429162"/>
      <w:bookmarkStart w:id="30" w:name="_Toc471429183"/>
      <w:bookmarkStart w:id="31" w:name="_Toc471430470"/>
      <w:bookmarkStart w:id="32" w:name="_Toc471430485"/>
      <w:bookmarkStart w:id="33" w:name="_Toc471430495"/>
      <w:bookmarkStart w:id="34" w:name="_Toc471430665"/>
      <w:bookmarkStart w:id="35" w:name="_Toc471430852"/>
      <w:bookmarkStart w:id="36" w:name="_Toc471431076"/>
      <w:bookmarkStart w:id="37" w:name="_Toc471755053"/>
      <w:bookmarkStart w:id="38" w:name="_Toc471755926"/>
      <w:bookmarkStart w:id="39" w:name="_Toc471756407"/>
      <w:bookmarkStart w:id="40" w:name="_Toc471756588"/>
      <w:bookmarkStart w:id="41" w:name="_Toc471767336"/>
      <w:bookmarkStart w:id="42" w:name="_Toc474110660"/>
      <w:bookmarkStart w:id="43" w:name="_Toc474110831"/>
      <w:bookmarkStart w:id="44" w:name="_Toc474111343"/>
      <w:bookmarkStart w:id="45" w:name="_Toc474111667"/>
      <w:bookmarkStart w:id="46" w:name="_Toc474112381"/>
      <w:bookmarkStart w:id="47" w:name="_Toc474112910"/>
      <w:bookmarkStart w:id="48" w:name="_Toc478117459"/>
      <w:bookmarkStart w:id="49" w:name="_Toc478121838"/>
      <w:bookmarkStart w:id="50" w:name="_Toc481672354"/>
      <w:bookmarkStart w:id="51" w:name="_Toc481673009"/>
      <w:bookmarkStart w:id="52" w:name="_Toc481673054"/>
      <w:bookmarkStart w:id="53" w:name="_Toc481695577"/>
      <w:bookmarkStart w:id="54" w:name="_Toc481697901"/>
      <w:bookmarkStart w:id="55" w:name="_Toc481761671"/>
      <w:bookmarkStart w:id="56" w:name="_Toc481762210"/>
      <w:bookmarkStart w:id="57" w:name="_Toc485032291"/>
      <w:bookmarkStart w:id="58" w:name="_Toc485294764"/>
      <w:bookmarkStart w:id="59" w:name="_Toc485301262"/>
      <w:bookmarkStart w:id="60" w:name="_Toc485301363"/>
      <w:bookmarkStart w:id="61" w:name="_Toc485301383"/>
      <w:bookmarkStart w:id="62" w:name="_Toc485301474"/>
      <w:bookmarkStart w:id="63" w:name="_Toc485301599"/>
      <w:bookmarkStart w:id="64" w:name="_Toc485392539"/>
      <w:bookmarkStart w:id="65" w:name="_Toc485392676"/>
      <w:r w:rsidRPr="005538EF">
        <w:t xml:space="preserve">Support rate matching for NR </w:t>
      </w:r>
      <w:r w:rsidR="00BD77ED" w:rsidRPr="005538EF">
        <w:t>that</w:t>
      </w:r>
      <w:r w:rsidRPr="005538EF">
        <w:t xml:space="preserve"> take</w:t>
      </w:r>
      <w:r w:rsidR="00BD77ED" w:rsidRPr="005538EF">
        <w:t>s</w:t>
      </w:r>
      <w:r w:rsidRPr="005538EF">
        <w:t xml:space="preserve"> into account the presence of LTE </w:t>
      </w:r>
      <w:r w:rsidR="00BD77ED" w:rsidRPr="005538EF">
        <w:t>critical signal</w:t>
      </w:r>
      <w:r w:rsidRPr="005538EF">
        <w:t>s in the case of NR-LTE coexistence.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9D9625C" w14:textId="5DB49F2B" w:rsidR="00A151A1" w:rsidRDefault="009F7EEF" w:rsidP="00F128C5">
      <w:pPr>
        <w:pStyle w:val="BodyText"/>
        <w:rPr>
          <w:b/>
        </w:rPr>
      </w:pPr>
      <w:bookmarkStart w:id="66" w:name="_Toc485301263"/>
      <w:bookmarkStart w:id="67" w:name="_Toc485301364"/>
      <w:bookmarkStart w:id="68" w:name="_Toc485301384"/>
      <w:bookmarkStart w:id="69" w:name="_Toc485301475"/>
      <w:bookmarkStart w:id="70" w:name="_Toc485301600"/>
      <w:bookmarkStart w:id="71" w:name="_Toc485392540"/>
      <w:r w:rsidRPr="001A77A6">
        <w:t xml:space="preserve">Further details and proposals </w:t>
      </w:r>
      <w:r w:rsidR="002F1370">
        <w:t>related to NR-LTE coexistence</w:t>
      </w:r>
      <w:r w:rsidRPr="001A77A6">
        <w:t xml:space="preserve"> are given in our companion contribution </w:t>
      </w:r>
      <w:r w:rsidRPr="001A77A6">
        <w:rPr>
          <w:b/>
        </w:rPr>
        <w:fldChar w:fldCharType="begin"/>
      </w:r>
      <w:r w:rsidRPr="001A77A6">
        <w:instrText xml:space="preserve"> REF _Ref485297160 \r \h </w:instrText>
      </w:r>
      <w:r w:rsidR="001A77A6">
        <w:instrText xml:space="preserve"> \* MERGEFORMAT </w:instrText>
      </w:r>
      <w:r w:rsidRPr="001A77A6">
        <w:rPr>
          <w:b/>
        </w:rPr>
      </w:r>
      <w:r w:rsidRPr="001A77A6">
        <w:rPr>
          <w:b/>
        </w:rPr>
        <w:fldChar w:fldCharType="separate"/>
      </w:r>
      <w:r w:rsidR="00F128C5" w:rsidRPr="00F128C5">
        <w:rPr>
          <w:b/>
        </w:rPr>
        <w:t>[3]</w:t>
      </w:r>
      <w:r w:rsidRPr="001A77A6">
        <w:rPr>
          <w:b/>
        </w:rPr>
        <w:fldChar w:fldCharType="end"/>
      </w:r>
      <w:r w:rsidRPr="001A77A6">
        <w:t>.</w:t>
      </w:r>
      <w:bookmarkEnd w:id="66"/>
      <w:bookmarkEnd w:id="67"/>
      <w:bookmarkEnd w:id="68"/>
      <w:bookmarkEnd w:id="69"/>
      <w:bookmarkEnd w:id="70"/>
      <w:bookmarkEnd w:id="71"/>
    </w:p>
    <w:p w14:paraId="2FDE3EC8" w14:textId="7C5D9783" w:rsidR="00F128C5" w:rsidRDefault="00F128C5" w:rsidP="00F128C5">
      <w:pPr>
        <w:pStyle w:val="Heading2"/>
      </w:pPr>
      <w:r>
        <w:t>Rate matching for UL</w:t>
      </w:r>
    </w:p>
    <w:p w14:paraId="473E66C8" w14:textId="5C1CBDD1" w:rsidR="00F128C5" w:rsidRDefault="00F128C5" w:rsidP="00F128C5">
      <w:r>
        <w:t>In RAN1#88bis, the agreement (2) was made with regards to aperiodic SRS. An open issue is how to perform PUSCH to RE mapping for an NR UE when another NR UE is receiving aperiodic SRS in the same slot.  One example solution is to support reserved SRS resources that are to be used for PUSCH to RE mapping purposes only.  When an NR UE is scheduled with PUSCH in a slot, the NR UE can be indicated in the same UL grant DCI whether one or multiple reserved SRS resources should be considered for PUSCH rate matching purpose in the slot.</w:t>
      </w:r>
      <w:r w:rsidRPr="004B77CF">
        <w:t xml:space="preserve"> </w:t>
      </w:r>
    </w:p>
    <w:p w14:paraId="64386A67" w14:textId="05198C32" w:rsidR="00F128C5" w:rsidRPr="00F128C5" w:rsidRDefault="00F128C5" w:rsidP="00F128C5">
      <w:pPr>
        <w:pStyle w:val="Proposal"/>
        <w:tabs>
          <w:tab w:val="num" w:pos="4544"/>
        </w:tabs>
      </w:pPr>
      <w:bookmarkStart w:id="72" w:name="_Toc485301261"/>
      <w:bookmarkStart w:id="73" w:name="_Toc485392541"/>
      <w:bookmarkStart w:id="74" w:name="_Toc485392677"/>
      <w:bookmarkStart w:id="75" w:name="_Toc485301362"/>
      <w:bookmarkStart w:id="76" w:name="_Toc485301382"/>
      <w:bookmarkStart w:id="77" w:name="_Toc485301473"/>
      <w:bookmarkStart w:id="78" w:name="_Toc485301598"/>
      <w:r>
        <w:t>NR should support the configuration of reserved SRS resources for PUSCH to RE mapping purpose only.</w:t>
      </w:r>
      <w:bookmarkEnd w:id="72"/>
      <w:bookmarkEnd w:id="73"/>
      <w:bookmarkEnd w:id="74"/>
      <w:r>
        <w:t xml:space="preserve"> </w:t>
      </w:r>
      <w:bookmarkEnd w:id="75"/>
      <w:bookmarkEnd w:id="76"/>
      <w:bookmarkEnd w:id="77"/>
      <w:bookmarkEnd w:id="78"/>
    </w:p>
    <w:p w14:paraId="134D39D9" w14:textId="0F333287" w:rsidR="00C01F33" w:rsidRPr="00CE0424" w:rsidRDefault="00C01F33" w:rsidP="003A0E41">
      <w:pPr>
        <w:pStyle w:val="Heading1"/>
      </w:pPr>
      <w:r w:rsidRPr="00CE0424">
        <w:lastRenderedPageBreak/>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5A094AE9" w14:textId="77777777" w:rsidR="00F128C5" w:rsidRPr="00F128C5"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128C5">
        <w:t>Proposal 1</w:t>
      </w:r>
      <w:r w:rsidR="00F128C5" w:rsidRPr="00F128C5">
        <w:rPr>
          <w:rFonts w:asciiTheme="minorHAnsi" w:eastAsiaTheme="minorEastAsia" w:hAnsiTheme="minorHAnsi" w:cstheme="minorBidi"/>
          <w:b w:val="0"/>
          <w:sz w:val="22"/>
          <w:lang w:eastAsia="sv-SE"/>
        </w:rPr>
        <w:tab/>
      </w:r>
      <w:r w:rsidR="00F128C5">
        <w:t>NR should support the configuration of ZP CSI-RS without a connection with a CSI measurement, i.e. for PDSCH to RE mapping purpose only.</w:t>
      </w:r>
    </w:p>
    <w:p w14:paraId="318BC19C" w14:textId="77777777" w:rsidR="00F128C5" w:rsidRPr="00F128C5" w:rsidRDefault="00F128C5">
      <w:pPr>
        <w:pStyle w:val="TOC1"/>
        <w:rPr>
          <w:rFonts w:asciiTheme="minorHAnsi" w:eastAsiaTheme="minorEastAsia" w:hAnsiTheme="minorHAnsi" w:cstheme="minorBidi"/>
          <w:b w:val="0"/>
          <w:sz w:val="22"/>
          <w:lang w:eastAsia="sv-SE"/>
        </w:rPr>
      </w:pPr>
      <w:r>
        <w:t>Proposal 2</w:t>
      </w:r>
      <w:r w:rsidRPr="00F128C5">
        <w:rPr>
          <w:rFonts w:asciiTheme="minorHAnsi" w:eastAsiaTheme="minorEastAsia" w:hAnsiTheme="minorHAnsi" w:cstheme="minorBidi"/>
          <w:b w:val="0"/>
          <w:sz w:val="22"/>
          <w:lang w:eastAsia="sv-SE"/>
        </w:rPr>
        <w:tab/>
      </w:r>
      <w:r>
        <w:t>Support rate matching for NR that takes into account the presence of LTE critical signals in the case of NR-LTE coexistence.</w:t>
      </w:r>
    </w:p>
    <w:p w14:paraId="598F45E7" w14:textId="77777777" w:rsidR="00F128C5" w:rsidRPr="00F128C5" w:rsidRDefault="00F128C5">
      <w:pPr>
        <w:pStyle w:val="TOC1"/>
        <w:rPr>
          <w:rFonts w:asciiTheme="minorHAnsi" w:eastAsiaTheme="minorEastAsia" w:hAnsiTheme="minorHAnsi" w:cstheme="minorBidi"/>
          <w:b w:val="0"/>
          <w:sz w:val="22"/>
          <w:lang w:eastAsia="sv-SE"/>
        </w:rPr>
      </w:pPr>
      <w:r>
        <w:t>Proposal 3</w:t>
      </w:r>
      <w:r w:rsidRPr="00F128C5">
        <w:rPr>
          <w:rFonts w:asciiTheme="minorHAnsi" w:eastAsiaTheme="minorEastAsia" w:hAnsiTheme="minorHAnsi" w:cstheme="minorBidi"/>
          <w:b w:val="0"/>
          <w:sz w:val="22"/>
          <w:lang w:eastAsia="sv-SE"/>
        </w:rPr>
        <w:tab/>
      </w:r>
      <w:r>
        <w:t>NR should support the configuration of reserved SRS resources for PUSCH to RE mapping purpose only.</w:t>
      </w:r>
    </w:p>
    <w:p w14:paraId="471528F7" w14:textId="1E3107E9" w:rsidR="004F0258" w:rsidRDefault="00E5689D" w:rsidP="00786AA2">
      <w:r>
        <w:fldChar w:fldCharType="end"/>
      </w:r>
    </w:p>
    <w:p w14:paraId="0457B1F9" w14:textId="77777777" w:rsidR="00C01F33" w:rsidRDefault="00C01F33" w:rsidP="00786AA2"/>
    <w:p w14:paraId="25FE7BCF" w14:textId="77777777" w:rsidR="00533991" w:rsidRPr="00CE0424" w:rsidRDefault="00533991" w:rsidP="00533991">
      <w:pPr>
        <w:pStyle w:val="Heading1"/>
      </w:pPr>
      <w:bookmarkStart w:id="79" w:name="_In-sequence_SDU_delivery"/>
      <w:bookmarkEnd w:id="79"/>
      <w:r w:rsidRPr="00CE0424">
        <w:t>References</w:t>
      </w:r>
    </w:p>
    <w:p w14:paraId="2EE08460" w14:textId="453E378E" w:rsidR="00533991" w:rsidRDefault="00533991" w:rsidP="00533991">
      <w:pPr>
        <w:pStyle w:val="Reference"/>
      </w:pPr>
      <w:bookmarkStart w:id="80" w:name="_Ref477774264"/>
      <w:r w:rsidRPr="00E322EF">
        <w:t>R1-170</w:t>
      </w:r>
      <w:r w:rsidR="00EB78D1">
        <w:t>9535</w:t>
      </w:r>
      <w:r w:rsidRPr="00E322EF">
        <w:t xml:space="preserve">, “WF on </w:t>
      </w:r>
      <w:r w:rsidR="00EB78D1">
        <w:t>PDSCH rate matching</w:t>
      </w:r>
      <w:r w:rsidRPr="00E322EF">
        <w:t xml:space="preserve">”, </w:t>
      </w:r>
      <w:r w:rsidR="00EB78D1">
        <w:t>May</w:t>
      </w:r>
      <w:r w:rsidRPr="00E322EF">
        <w:t xml:space="preserve"> 2017.</w:t>
      </w:r>
      <w:bookmarkEnd w:id="80"/>
    </w:p>
    <w:p w14:paraId="7EE60BB6" w14:textId="7AE52B61" w:rsidR="00BC56D0" w:rsidRDefault="00BC56D0" w:rsidP="00533991">
      <w:pPr>
        <w:pStyle w:val="Reference"/>
      </w:pPr>
      <w:bookmarkStart w:id="81" w:name="_Ref485294595"/>
      <w:r>
        <w:t>R1-1706449, “WF on ZP CSI-RS for PDSCH rate matching”, April 2017.</w:t>
      </w:r>
      <w:bookmarkEnd w:id="81"/>
    </w:p>
    <w:p w14:paraId="44BE2478" w14:textId="038AB909" w:rsidR="009F7EEF" w:rsidRPr="00E322EF" w:rsidRDefault="008F6810" w:rsidP="008F6810">
      <w:pPr>
        <w:pStyle w:val="Reference"/>
      </w:pPr>
      <w:bookmarkStart w:id="82" w:name="_Ref485297160"/>
      <w:r w:rsidRPr="008F6810">
        <w:t>R1-1710912</w:t>
      </w:r>
      <w:r w:rsidR="009F7EEF">
        <w:t>, “Reserved resources supporting NR co-existence with LTE and NB-</w:t>
      </w:r>
      <w:proofErr w:type="spellStart"/>
      <w:r w:rsidR="009F7EEF">
        <w:t>IoT</w:t>
      </w:r>
      <w:proofErr w:type="spellEnd"/>
      <w:r w:rsidR="009F7EEF">
        <w:t>”, Ericsson, June 2017.</w:t>
      </w:r>
      <w:bookmarkEnd w:id="82"/>
    </w:p>
    <w:p w14:paraId="535A994C" w14:textId="54EF506A" w:rsidR="002B5AE5" w:rsidRPr="00CE0424" w:rsidRDefault="002B5AE5" w:rsidP="00786AA2"/>
    <w:sectPr w:rsidR="002B5AE5"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34331" w14:textId="77777777" w:rsidR="00467E1E" w:rsidRDefault="00467E1E">
      <w:r>
        <w:separator/>
      </w:r>
    </w:p>
  </w:endnote>
  <w:endnote w:type="continuationSeparator" w:id="0">
    <w:p w14:paraId="61967D78" w14:textId="77777777" w:rsidR="00467E1E" w:rsidRDefault="0046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A199" w14:textId="77777777" w:rsidR="006A6B8E" w:rsidRDefault="006A6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2F062CE1"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0A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0A42">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628A4" w14:textId="77777777" w:rsidR="006A6B8E" w:rsidRDefault="006A6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F84C2" w14:textId="77777777" w:rsidR="00467E1E" w:rsidRDefault="00467E1E">
      <w:r>
        <w:separator/>
      </w:r>
    </w:p>
  </w:footnote>
  <w:footnote w:type="continuationSeparator" w:id="0">
    <w:p w14:paraId="7FFB6AD2" w14:textId="77777777" w:rsidR="00467E1E" w:rsidRDefault="0046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71D0" w14:textId="77777777" w:rsidR="006A6B8E" w:rsidRDefault="006A6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8C56" w14:textId="77777777" w:rsidR="006A6B8E" w:rsidRDefault="006A6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6"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E332DD"/>
    <w:multiLevelType w:val="hybridMultilevel"/>
    <w:tmpl w:val="27EA9196"/>
    <w:lvl w:ilvl="0" w:tplc="CC22EE18">
      <w:start w:val="1"/>
      <w:numFmt w:val="bullet"/>
      <w:lvlText w:val="–"/>
      <w:lvlJc w:val="left"/>
      <w:pPr>
        <w:tabs>
          <w:tab w:val="num" w:pos="720"/>
        </w:tabs>
        <w:ind w:left="720" w:hanging="360"/>
      </w:pPr>
      <w:rPr>
        <w:rFonts w:ascii="Arial" w:hAnsi="Arial" w:hint="default"/>
      </w:rPr>
    </w:lvl>
    <w:lvl w:ilvl="1" w:tplc="A81228F4">
      <w:start w:val="1"/>
      <w:numFmt w:val="bullet"/>
      <w:lvlText w:val="–"/>
      <w:lvlJc w:val="left"/>
      <w:pPr>
        <w:tabs>
          <w:tab w:val="num" w:pos="1440"/>
        </w:tabs>
        <w:ind w:left="1440" w:hanging="360"/>
      </w:pPr>
      <w:rPr>
        <w:rFonts w:ascii="Arial" w:hAnsi="Arial" w:hint="default"/>
      </w:rPr>
    </w:lvl>
    <w:lvl w:ilvl="2" w:tplc="8C4009A0">
      <w:numFmt w:val="bullet"/>
      <w:lvlText w:val="•"/>
      <w:lvlJc w:val="left"/>
      <w:pPr>
        <w:tabs>
          <w:tab w:val="num" w:pos="2160"/>
        </w:tabs>
        <w:ind w:left="2160" w:hanging="360"/>
      </w:pPr>
      <w:rPr>
        <w:rFonts w:ascii="Arial" w:hAnsi="Arial" w:hint="default"/>
      </w:rPr>
    </w:lvl>
    <w:lvl w:ilvl="3" w:tplc="8D14D8B0" w:tentative="1">
      <w:start w:val="1"/>
      <w:numFmt w:val="bullet"/>
      <w:lvlText w:val="–"/>
      <w:lvlJc w:val="left"/>
      <w:pPr>
        <w:tabs>
          <w:tab w:val="num" w:pos="2880"/>
        </w:tabs>
        <w:ind w:left="2880" w:hanging="360"/>
      </w:pPr>
      <w:rPr>
        <w:rFonts w:ascii="Arial" w:hAnsi="Arial" w:hint="default"/>
      </w:rPr>
    </w:lvl>
    <w:lvl w:ilvl="4" w:tplc="64E8A1E0" w:tentative="1">
      <w:start w:val="1"/>
      <w:numFmt w:val="bullet"/>
      <w:lvlText w:val="–"/>
      <w:lvlJc w:val="left"/>
      <w:pPr>
        <w:tabs>
          <w:tab w:val="num" w:pos="3600"/>
        </w:tabs>
        <w:ind w:left="3600" w:hanging="360"/>
      </w:pPr>
      <w:rPr>
        <w:rFonts w:ascii="Arial" w:hAnsi="Arial" w:hint="default"/>
      </w:rPr>
    </w:lvl>
    <w:lvl w:ilvl="5" w:tplc="B8F2B446" w:tentative="1">
      <w:start w:val="1"/>
      <w:numFmt w:val="bullet"/>
      <w:lvlText w:val="–"/>
      <w:lvlJc w:val="left"/>
      <w:pPr>
        <w:tabs>
          <w:tab w:val="num" w:pos="4320"/>
        </w:tabs>
        <w:ind w:left="4320" w:hanging="360"/>
      </w:pPr>
      <w:rPr>
        <w:rFonts w:ascii="Arial" w:hAnsi="Arial" w:hint="default"/>
      </w:rPr>
    </w:lvl>
    <w:lvl w:ilvl="6" w:tplc="5BC0566C" w:tentative="1">
      <w:start w:val="1"/>
      <w:numFmt w:val="bullet"/>
      <w:lvlText w:val="–"/>
      <w:lvlJc w:val="left"/>
      <w:pPr>
        <w:tabs>
          <w:tab w:val="num" w:pos="5040"/>
        </w:tabs>
        <w:ind w:left="5040" w:hanging="360"/>
      </w:pPr>
      <w:rPr>
        <w:rFonts w:ascii="Arial" w:hAnsi="Arial" w:hint="default"/>
      </w:rPr>
    </w:lvl>
    <w:lvl w:ilvl="7" w:tplc="E820976A" w:tentative="1">
      <w:start w:val="1"/>
      <w:numFmt w:val="bullet"/>
      <w:lvlText w:val="–"/>
      <w:lvlJc w:val="left"/>
      <w:pPr>
        <w:tabs>
          <w:tab w:val="num" w:pos="5760"/>
        </w:tabs>
        <w:ind w:left="5760" w:hanging="360"/>
      </w:pPr>
      <w:rPr>
        <w:rFonts w:ascii="Arial" w:hAnsi="Arial" w:hint="default"/>
      </w:rPr>
    </w:lvl>
    <w:lvl w:ilvl="8" w:tplc="21C0215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2"/>
  </w:num>
  <w:num w:numId="4">
    <w:abstractNumId w:val="13"/>
  </w:num>
  <w:num w:numId="5">
    <w:abstractNumId w:val="8"/>
  </w:num>
  <w:num w:numId="6">
    <w:abstractNumId w:val="15"/>
  </w:num>
  <w:num w:numId="7">
    <w:abstractNumId w:val="21"/>
  </w:num>
  <w:num w:numId="8">
    <w:abstractNumId w:val="9"/>
  </w:num>
  <w:num w:numId="9">
    <w:abstractNumId w:val="19"/>
  </w:num>
  <w:num w:numId="10">
    <w:abstractNumId w:val="20"/>
  </w:num>
  <w:num w:numId="11">
    <w:abstractNumId w:val="1"/>
  </w:num>
  <w:num w:numId="12">
    <w:abstractNumId w:val="3"/>
  </w:num>
  <w:num w:numId="13">
    <w:abstractNumId w:val="11"/>
  </w:num>
  <w:num w:numId="14">
    <w:abstractNumId w:val="17"/>
  </w:num>
  <w:num w:numId="15">
    <w:abstractNumId w:val="2"/>
  </w:num>
  <w:num w:numId="16">
    <w:abstractNumId w:val="14"/>
  </w:num>
  <w:num w:numId="17">
    <w:abstractNumId w:val="6"/>
  </w:num>
  <w:num w:numId="18">
    <w:abstractNumId w:val="5"/>
  </w:num>
  <w:num w:numId="19">
    <w:abstractNumId w:val="16"/>
  </w:num>
  <w:num w:numId="20">
    <w:abstractNumId w:val="4"/>
  </w:num>
  <w:num w:numId="21">
    <w:abstractNumId w:val="22"/>
  </w:num>
  <w:num w:numId="22">
    <w:abstractNumId w:val="10"/>
  </w:num>
  <w:num w:numId="2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72EBA"/>
    <w:rsid w:val="00077E5F"/>
    <w:rsid w:val="00080075"/>
    <w:rsid w:val="0008036A"/>
    <w:rsid w:val="0008103C"/>
    <w:rsid w:val="00081AE6"/>
    <w:rsid w:val="00084BD4"/>
    <w:rsid w:val="000855EB"/>
    <w:rsid w:val="00085B52"/>
    <w:rsid w:val="000866F2"/>
    <w:rsid w:val="0009009F"/>
    <w:rsid w:val="00091557"/>
    <w:rsid w:val="000924C1"/>
    <w:rsid w:val="000924F0"/>
    <w:rsid w:val="00093474"/>
    <w:rsid w:val="00094210"/>
    <w:rsid w:val="0009510F"/>
    <w:rsid w:val="000A1B7B"/>
    <w:rsid w:val="000A4363"/>
    <w:rsid w:val="000A56F2"/>
    <w:rsid w:val="000A7DD0"/>
    <w:rsid w:val="000B0A42"/>
    <w:rsid w:val="000B2719"/>
    <w:rsid w:val="000B3A8F"/>
    <w:rsid w:val="000B4AB9"/>
    <w:rsid w:val="000B58C3"/>
    <w:rsid w:val="000B61E9"/>
    <w:rsid w:val="000B6A4B"/>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07518"/>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7AB5"/>
    <w:rsid w:val="00137F0B"/>
    <w:rsid w:val="00146319"/>
    <w:rsid w:val="00151E23"/>
    <w:rsid w:val="001526E0"/>
    <w:rsid w:val="0015373E"/>
    <w:rsid w:val="001551B5"/>
    <w:rsid w:val="001659C1"/>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A77A6"/>
    <w:rsid w:val="001B0D97"/>
    <w:rsid w:val="001B1503"/>
    <w:rsid w:val="001B5A5D"/>
    <w:rsid w:val="001B5E6B"/>
    <w:rsid w:val="001C1CE5"/>
    <w:rsid w:val="001C29C2"/>
    <w:rsid w:val="001C3D2A"/>
    <w:rsid w:val="001C5158"/>
    <w:rsid w:val="001C78B7"/>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41E6"/>
    <w:rsid w:val="002D071A"/>
    <w:rsid w:val="002D34B2"/>
    <w:rsid w:val="002D609D"/>
    <w:rsid w:val="002D72BE"/>
    <w:rsid w:val="002D7637"/>
    <w:rsid w:val="002D7C41"/>
    <w:rsid w:val="002E17F2"/>
    <w:rsid w:val="002E2E22"/>
    <w:rsid w:val="002E7CAE"/>
    <w:rsid w:val="002F1370"/>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D23"/>
    <w:rsid w:val="00327997"/>
    <w:rsid w:val="00331751"/>
    <w:rsid w:val="00331B7B"/>
    <w:rsid w:val="00334579"/>
    <w:rsid w:val="00334EC8"/>
    <w:rsid w:val="00335858"/>
    <w:rsid w:val="00336BDA"/>
    <w:rsid w:val="00342BD7"/>
    <w:rsid w:val="00346DB5"/>
    <w:rsid w:val="003477B1"/>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55E4"/>
    <w:rsid w:val="003E74E3"/>
    <w:rsid w:val="003F05C7"/>
    <w:rsid w:val="003F2CD4"/>
    <w:rsid w:val="003F6BBE"/>
    <w:rsid w:val="004000E8"/>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67E1E"/>
    <w:rsid w:val="00470C31"/>
    <w:rsid w:val="004734D0"/>
    <w:rsid w:val="0047556B"/>
    <w:rsid w:val="004774FC"/>
    <w:rsid w:val="00477768"/>
    <w:rsid w:val="00492BC5"/>
    <w:rsid w:val="00496384"/>
    <w:rsid w:val="004964F1"/>
    <w:rsid w:val="004A093E"/>
    <w:rsid w:val="004A16BC"/>
    <w:rsid w:val="004A2B94"/>
    <w:rsid w:val="004B77CF"/>
    <w:rsid w:val="004B7C0C"/>
    <w:rsid w:val="004C1A58"/>
    <w:rsid w:val="004C3898"/>
    <w:rsid w:val="004D187E"/>
    <w:rsid w:val="004D36B1"/>
    <w:rsid w:val="004D7EBD"/>
    <w:rsid w:val="004E2680"/>
    <w:rsid w:val="004E28F9"/>
    <w:rsid w:val="004E462E"/>
    <w:rsid w:val="004E56DC"/>
    <w:rsid w:val="004E5EB3"/>
    <w:rsid w:val="004E76F4"/>
    <w:rsid w:val="004F0258"/>
    <w:rsid w:val="004F0B4E"/>
    <w:rsid w:val="004F0B6C"/>
    <w:rsid w:val="004F2078"/>
    <w:rsid w:val="004F4DA3"/>
    <w:rsid w:val="004F6821"/>
    <w:rsid w:val="005019DB"/>
    <w:rsid w:val="00506557"/>
    <w:rsid w:val="0050677A"/>
    <w:rsid w:val="005108D8"/>
    <w:rsid w:val="005116F9"/>
    <w:rsid w:val="005153A7"/>
    <w:rsid w:val="005219CF"/>
    <w:rsid w:val="00533991"/>
    <w:rsid w:val="00534B59"/>
    <w:rsid w:val="00536759"/>
    <w:rsid w:val="00537C62"/>
    <w:rsid w:val="00541E58"/>
    <w:rsid w:val="00546970"/>
    <w:rsid w:val="005538EF"/>
    <w:rsid w:val="00554192"/>
    <w:rsid w:val="00554E19"/>
    <w:rsid w:val="0056121F"/>
    <w:rsid w:val="00563982"/>
    <w:rsid w:val="00572505"/>
    <w:rsid w:val="00575DA6"/>
    <w:rsid w:val="00582809"/>
    <w:rsid w:val="0058798C"/>
    <w:rsid w:val="005900FA"/>
    <w:rsid w:val="00591E0B"/>
    <w:rsid w:val="005935A4"/>
    <w:rsid w:val="005948C2"/>
    <w:rsid w:val="00594A06"/>
    <w:rsid w:val="005954D5"/>
    <w:rsid w:val="00595DCA"/>
    <w:rsid w:val="0059779B"/>
    <w:rsid w:val="005A1F8A"/>
    <w:rsid w:val="005A209A"/>
    <w:rsid w:val="005A4FFA"/>
    <w:rsid w:val="005A5E81"/>
    <w:rsid w:val="005A662D"/>
    <w:rsid w:val="005B35D7"/>
    <w:rsid w:val="005B392A"/>
    <w:rsid w:val="005B3AA3"/>
    <w:rsid w:val="005B6F83"/>
    <w:rsid w:val="005C0713"/>
    <w:rsid w:val="005C74FB"/>
    <w:rsid w:val="005D1602"/>
    <w:rsid w:val="005D2361"/>
    <w:rsid w:val="005D2558"/>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47125"/>
    <w:rsid w:val="0065094A"/>
    <w:rsid w:val="00650AB9"/>
    <w:rsid w:val="00651C6F"/>
    <w:rsid w:val="00653691"/>
    <w:rsid w:val="006555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A46FB"/>
    <w:rsid w:val="006A5E28"/>
    <w:rsid w:val="006A6585"/>
    <w:rsid w:val="006A697B"/>
    <w:rsid w:val="006A6AF9"/>
    <w:rsid w:val="006A6B8E"/>
    <w:rsid w:val="006A7AFF"/>
    <w:rsid w:val="006B1816"/>
    <w:rsid w:val="006B2099"/>
    <w:rsid w:val="006B50CF"/>
    <w:rsid w:val="006C03B8"/>
    <w:rsid w:val="006C5EC9"/>
    <w:rsid w:val="006C6059"/>
    <w:rsid w:val="006C7522"/>
    <w:rsid w:val="006D4C13"/>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227"/>
    <w:rsid w:val="00726EA6"/>
    <w:rsid w:val="00727208"/>
    <w:rsid w:val="00727680"/>
    <w:rsid w:val="007348B1"/>
    <w:rsid w:val="007362A6"/>
    <w:rsid w:val="00736D7D"/>
    <w:rsid w:val="00740E58"/>
    <w:rsid w:val="007445A0"/>
    <w:rsid w:val="007445C1"/>
    <w:rsid w:val="0074524B"/>
    <w:rsid w:val="0074524F"/>
    <w:rsid w:val="00747D8B"/>
    <w:rsid w:val="00751228"/>
    <w:rsid w:val="007565B2"/>
    <w:rsid w:val="007571E1"/>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A1CB3"/>
    <w:rsid w:val="007A2B7D"/>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44E8"/>
    <w:rsid w:val="00844E80"/>
    <w:rsid w:val="00846FE7"/>
    <w:rsid w:val="00847BFF"/>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A88"/>
    <w:rsid w:val="00895079"/>
    <w:rsid w:val="00895386"/>
    <w:rsid w:val="00896E18"/>
    <w:rsid w:val="00897258"/>
    <w:rsid w:val="008A21FF"/>
    <w:rsid w:val="008A2CE2"/>
    <w:rsid w:val="008A30AC"/>
    <w:rsid w:val="008A44B8"/>
    <w:rsid w:val="008A51A8"/>
    <w:rsid w:val="008A54C7"/>
    <w:rsid w:val="008A77D8"/>
    <w:rsid w:val="008B0483"/>
    <w:rsid w:val="008B120C"/>
    <w:rsid w:val="008B419E"/>
    <w:rsid w:val="008B51A0"/>
    <w:rsid w:val="008B592A"/>
    <w:rsid w:val="008B7B5C"/>
    <w:rsid w:val="008C0C99"/>
    <w:rsid w:val="008C2017"/>
    <w:rsid w:val="008C20A1"/>
    <w:rsid w:val="008C4958"/>
    <w:rsid w:val="008C4BAA"/>
    <w:rsid w:val="008C4E8C"/>
    <w:rsid w:val="008C51A4"/>
    <w:rsid w:val="008C6AE8"/>
    <w:rsid w:val="008C7573"/>
    <w:rsid w:val="008D34F1"/>
    <w:rsid w:val="008D39D8"/>
    <w:rsid w:val="008D6D1A"/>
    <w:rsid w:val="008E065E"/>
    <w:rsid w:val="008E0927"/>
    <w:rsid w:val="008E1909"/>
    <w:rsid w:val="008E3DD1"/>
    <w:rsid w:val="008F1EAB"/>
    <w:rsid w:val="008F321C"/>
    <w:rsid w:val="008F33DC"/>
    <w:rsid w:val="008F477F"/>
    <w:rsid w:val="008F6810"/>
    <w:rsid w:val="00902350"/>
    <w:rsid w:val="0090336B"/>
    <w:rsid w:val="00904C1A"/>
    <w:rsid w:val="009053AA"/>
    <w:rsid w:val="00906939"/>
    <w:rsid w:val="00907661"/>
    <w:rsid w:val="00910B7D"/>
    <w:rsid w:val="00911DFB"/>
    <w:rsid w:val="009139D9"/>
    <w:rsid w:val="00914AD8"/>
    <w:rsid w:val="009154F3"/>
    <w:rsid w:val="00916079"/>
    <w:rsid w:val="00917CE9"/>
    <w:rsid w:val="00920BF2"/>
    <w:rsid w:val="00922010"/>
    <w:rsid w:val="00924261"/>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55F"/>
    <w:rsid w:val="0095681E"/>
    <w:rsid w:val="009572D4"/>
    <w:rsid w:val="00960945"/>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9F7EEF"/>
    <w:rsid w:val="00A00767"/>
    <w:rsid w:val="00A031D8"/>
    <w:rsid w:val="00A048A8"/>
    <w:rsid w:val="00A04F49"/>
    <w:rsid w:val="00A06948"/>
    <w:rsid w:val="00A13E54"/>
    <w:rsid w:val="00A151A1"/>
    <w:rsid w:val="00A15745"/>
    <w:rsid w:val="00A17F63"/>
    <w:rsid w:val="00A2193B"/>
    <w:rsid w:val="00A2351A"/>
    <w:rsid w:val="00A23D36"/>
    <w:rsid w:val="00A264A9"/>
    <w:rsid w:val="00A27785"/>
    <w:rsid w:val="00A30187"/>
    <w:rsid w:val="00A341B2"/>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A10"/>
    <w:rsid w:val="00AD0AA3"/>
    <w:rsid w:val="00AD3F94"/>
    <w:rsid w:val="00AD457E"/>
    <w:rsid w:val="00AD4A5A"/>
    <w:rsid w:val="00AD7190"/>
    <w:rsid w:val="00AE0F99"/>
    <w:rsid w:val="00AE27AC"/>
    <w:rsid w:val="00AE2FEB"/>
    <w:rsid w:val="00AE40E0"/>
    <w:rsid w:val="00AE4DBA"/>
    <w:rsid w:val="00AE4F07"/>
    <w:rsid w:val="00AF1C5D"/>
    <w:rsid w:val="00AF42D7"/>
    <w:rsid w:val="00B006FE"/>
    <w:rsid w:val="00B007CB"/>
    <w:rsid w:val="00B02AA9"/>
    <w:rsid w:val="00B02FA3"/>
    <w:rsid w:val="00B03374"/>
    <w:rsid w:val="00B05084"/>
    <w:rsid w:val="00B075DF"/>
    <w:rsid w:val="00B12DEB"/>
    <w:rsid w:val="00B157F9"/>
    <w:rsid w:val="00B17582"/>
    <w:rsid w:val="00B20256"/>
    <w:rsid w:val="00B20D09"/>
    <w:rsid w:val="00B228C2"/>
    <w:rsid w:val="00B2545A"/>
    <w:rsid w:val="00B2763F"/>
    <w:rsid w:val="00B27AAC"/>
    <w:rsid w:val="00B30929"/>
    <w:rsid w:val="00B372AA"/>
    <w:rsid w:val="00B40445"/>
    <w:rsid w:val="00B41888"/>
    <w:rsid w:val="00B45A52"/>
    <w:rsid w:val="00B46175"/>
    <w:rsid w:val="00B6401E"/>
    <w:rsid w:val="00B664C7"/>
    <w:rsid w:val="00B72DDE"/>
    <w:rsid w:val="00B739F6"/>
    <w:rsid w:val="00B81A6C"/>
    <w:rsid w:val="00B8299F"/>
    <w:rsid w:val="00B85DE5"/>
    <w:rsid w:val="00B90F73"/>
    <w:rsid w:val="00B91688"/>
    <w:rsid w:val="00B93B59"/>
    <w:rsid w:val="00B9406A"/>
    <w:rsid w:val="00BA2280"/>
    <w:rsid w:val="00BA2A08"/>
    <w:rsid w:val="00BA38A8"/>
    <w:rsid w:val="00BA56D2"/>
    <w:rsid w:val="00BA76E0"/>
    <w:rsid w:val="00BB0E0C"/>
    <w:rsid w:val="00BB2A25"/>
    <w:rsid w:val="00BB3E70"/>
    <w:rsid w:val="00BB51E9"/>
    <w:rsid w:val="00BC0FDC"/>
    <w:rsid w:val="00BC1664"/>
    <w:rsid w:val="00BC2151"/>
    <w:rsid w:val="00BC3053"/>
    <w:rsid w:val="00BC4D2E"/>
    <w:rsid w:val="00BC56D0"/>
    <w:rsid w:val="00BD48AC"/>
    <w:rsid w:val="00BD5F1A"/>
    <w:rsid w:val="00BD74C2"/>
    <w:rsid w:val="00BD77ED"/>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51340"/>
    <w:rsid w:val="00C54995"/>
    <w:rsid w:val="00C54D41"/>
    <w:rsid w:val="00C60783"/>
    <w:rsid w:val="00C64672"/>
    <w:rsid w:val="00C64690"/>
    <w:rsid w:val="00C70697"/>
    <w:rsid w:val="00C71404"/>
    <w:rsid w:val="00C72EF4"/>
    <w:rsid w:val="00C7401C"/>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39A7"/>
    <w:rsid w:val="00D23F47"/>
    <w:rsid w:val="00D24223"/>
    <w:rsid w:val="00D36E71"/>
    <w:rsid w:val="00D37D87"/>
    <w:rsid w:val="00D40B33"/>
    <w:rsid w:val="00D4318F"/>
    <w:rsid w:val="00D438BF"/>
    <w:rsid w:val="00D440F8"/>
    <w:rsid w:val="00D47CC9"/>
    <w:rsid w:val="00D50426"/>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7F18"/>
    <w:rsid w:val="00DA2B60"/>
    <w:rsid w:val="00DA305E"/>
    <w:rsid w:val="00DA35AD"/>
    <w:rsid w:val="00DA5417"/>
    <w:rsid w:val="00DA56E8"/>
    <w:rsid w:val="00DB0A9F"/>
    <w:rsid w:val="00DB377D"/>
    <w:rsid w:val="00DC2D36"/>
    <w:rsid w:val="00DC53EF"/>
    <w:rsid w:val="00DD131E"/>
    <w:rsid w:val="00DD64AC"/>
    <w:rsid w:val="00DE5608"/>
    <w:rsid w:val="00DE58D0"/>
    <w:rsid w:val="00DE654F"/>
    <w:rsid w:val="00DF0B6E"/>
    <w:rsid w:val="00DF15E0"/>
    <w:rsid w:val="00DF37A0"/>
    <w:rsid w:val="00DF3AFF"/>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A4B16"/>
    <w:rsid w:val="00EA70CD"/>
    <w:rsid w:val="00EA7A41"/>
    <w:rsid w:val="00EB077B"/>
    <w:rsid w:val="00EB4EA2"/>
    <w:rsid w:val="00EB78D1"/>
    <w:rsid w:val="00EC27C6"/>
    <w:rsid w:val="00EC4207"/>
    <w:rsid w:val="00EC5653"/>
    <w:rsid w:val="00EC71CE"/>
    <w:rsid w:val="00EC77A7"/>
    <w:rsid w:val="00ED1006"/>
    <w:rsid w:val="00ED19EC"/>
    <w:rsid w:val="00ED6CBB"/>
    <w:rsid w:val="00EE59C8"/>
    <w:rsid w:val="00EE7501"/>
    <w:rsid w:val="00EF18FE"/>
    <w:rsid w:val="00EF5787"/>
    <w:rsid w:val="00EF60D0"/>
    <w:rsid w:val="00F0528D"/>
    <w:rsid w:val="00F06C67"/>
    <w:rsid w:val="00F06DFD"/>
    <w:rsid w:val="00F071D1"/>
    <w:rsid w:val="00F07533"/>
    <w:rsid w:val="00F10629"/>
    <w:rsid w:val="00F128C5"/>
    <w:rsid w:val="00F13ECC"/>
    <w:rsid w:val="00F15FA5"/>
    <w:rsid w:val="00F209B7"/>
    <w:rsid w:val="00F2376F"/>
    <w:rsid w:val="00F243D8"/>
    <w:rsid w:val="00F30828"/>
    <w:rsid w:val="00F313D6"/>
    <w:rsid w:val="00F3275E"/>
    <w:rsid w:val="00F33D90"/>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2BA"/>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01BB"/>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0A4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0B0A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A42"/>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5AF2F-50AF-46D8-82FC-80D4DE64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2017-06-16T20:34:00Z</dcterms:created>
  <dcterms:modified xsi:type="dcterms:W3CDTF">2017-06-16T20:49:00Z</dcterms:modified>
</cp:coreProperties>
</file>